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28DC42D" w:rsidP="0F0A0B2D" w:rsidRDefault="228DC42D" w14:paraId="69ADE683" w14:textId="1636A01F">
      <w:pPr>
        <w:rPr>
          <w:i/>
          <w:iCs/>
        </w:rPr>
      </w:pPr>
      <w:r w:rsidRPr="0F0A0B2D">
        <w:rPr>
          <w:i/>
          <w:iCs/>
        </w:rPr>
        <w:t xml:space="preserve">Fill in the </w:t>
      </w:r>
      <w:r w:rsidRPr="0F0A0B2D" w:rsidR="531E343E">
        <w:rPr>
          <w:i/>
          <w:iCs/>
        </w:rPr>
        <w:t xml:space="preserve">accessibility </w:t>
      </w:r>
      <w:r w:rsidRPr="0F0A0B2D">
        <w:rPr>
          <w:i/>
          <w:iCs/>
        </w:rPr>
        <w:t>statement according to the instructions and pay particular attention to the underlined p</w:t>
      </w:r>
      <w:r w:rsidRPr="0F0A0B2D" w:rsidR="0B816F99">
        <w:rPr>
          <w:i/>
          <w:iCs/>
        </w:rPr>
        <w:t>ar</w:t>
      </w:r>
      <w:r w:rsidRPr="0F0A0B2D">
        <w:rPr>
          <w:i/>
          <w:iCs/>
        </w:rPr>
        <w:t>ts.</w:t>
      </w:r>
      <w:r w:rsidRPr="0F0A0B2D" w:rsidR="062BDAB9">
        <w:rPr>
          <w:i/>
          <w:iCs/>
        </w:rPr>
        <w:t xml:space="preserve"> </w:t>
      </w:r>
      <w:r w:rsidRPr="0F0A0B2D" w:rsidR="0C40656C">
        <w:rPr>
          <w:i/>
          <w:iCs/>
        </w:rPr>
        <w:t>This statement refers to website by default, but the term can be changed to another</w:t>
      </w:r>
      <w:r w:rsidRPr="0F0A0B2D" w:rsidR="6D69C11F">
        <w:rPr>
          <w:i/>
          <w:iCs/>
        </w:rPr>
        <w:t xml:space="preserve"> if necessary</w:t>
      </w:r>
      <w:r w:rsidRPr="0F0A0B2D" w:rsidR="0C40656C">
        <w:rPr>
          <w:i/>
          <w:iCs/>
        </w:rPr>
        <w:t xml:space="preserve">, such as a digital service or a mobile application. Please remember to use the same </w:t>
      </w:r>
      <w:r w:rsidRPr="0F0A0B2D" w:rsidR="69F518FB">
        <w:rPr>
          <w:i/>
          <w:iCs/>
        </w:rPr>
        <w:t xml:space="preserve">term </w:t>
      </w:r>
      <w:r w:rsidRPr="0F0A0B2D" w:rsidR="0C40656C">
        <w:rPr>
          <w:i/>
          <w:iCs/>
        </w:rPr>
        <w:t xml:space="preserve">throughout the </w:t>
      </w:r>
      <w:r w:rsidRPr="0F0A0B2D" w:rsidR="6E3E9D83">
        <w:rPr>
          <w:i/>
          <w:iCs/>
        </w:rPr>
        <w:t>statement</w:t>
      </w:r>
      <w:r w:rsidRPr="0F0A0B2D" w:rsidR="0C40656C">
        <w:rPr>
          <w:i/>
          <w:iCs/>
        </w:rPr>
        <w:t>.</w:t>
      </w:r>
      <w:r w:rsidRPr="0F0A0B2D" w:rsidR="07E1035A">
        <w:rPr>
          <w:i/>
          <w:iCs/>
        </w:rPr>
        <w:t xml:space="preserve"> </w:t>
      </w:r>
      <w:r w:rsidRPr="0F0A0B2D">
        <w:rPr>
          <w:i/>
          <w:iCs/>
        </w:rPr>
        <w:t>Remove instructions and underlining from the final statement.</w:t>
      </w:r>
    </w:p>
    <w:p w:rsidR="6F08FB08" w:rsidP="0F0A0B2D" w:rsidRDefault="6F08FB08" w14:paraId="681949E8" w14:textId="6AB42D92">
      <w:pPr>
        <w:pStyle w:val="Heading1"/>
      </w:pPr>
      <w:r>
        <w:t>Accessibility statement</w:t>
      </w:r>
    </w:p>
    <w:p w:rsidR="640BE906" w:rsidP="0F0A0B2D" w:rsidRDefault="640BE906" w14:paraId="23D511D5" w14:textId="21E54028">
      <w:r w:rsidR="640BE906">
        <w:rPr/>
        <w:t xml:space="preserve">This accessibility statement applies to the </w:t>
      </w:r>
      <w:r w:rsidRPr="3F1E8B7C" w:rsidR="640BE906">
        <w:rPr>
          <w:u w:val="single"/>
        </w:rPr>
        <w:t>XX</w:t>
      </w:r>
      <w:r w:rsidRPr="3F1E8B7C" w:rsidR="700F2A02">
        <w:rPr>
          <w:u w:val="single"/>
        </w:rPr>
        <w:t>XX</w:t>
      </w:r>
      <w:r w:rsidRPr="3F1E8B7C" w:rsidR="640BE906">
        <w:rPr>
          <w:u w:val="single"/>
        </w:rPr>
        <w:t>X</w:t>
      </w:r>
      <w:r w:rsidR="640BE906">
        <w:rPr/>
        <w:t xml:space="preserve"> website (</w:t>
      </w:r>
      <w:r w:rsidRPr="3F1E8B7C" w:rsidR="640BE906">
        <w:rPr>
          <w:u w:val="single"/>
        </w:rPr>
        <w:t>www.xxx.fi</w:t>
      </w:r>
      <w:r w:rsidR="640BE906">
        <w:rPr/>
        <w:t xml:space="preserve">) run by the City of Helsinki. This statement explains the website’s accessibility and how to </w:t>
      </w:r>
      <w:r w:rsidR="640BE906">
        <w:rPr/>
        <w:t>submit</w:t>
      </w:r>
      <w:r w:rsidR="640BE906">
        <w:rPr/>
        <w:t xml:space="preserve"> accessibility-related feedback. </w:t>
      </w:r>
    </w:p>
    <w:p w:rsidR="640BE906" w:rsidP="0F0A0B2D" w:rsidRDefault="640BE906" w14:paraId="1302A8B7" w14:textId="7F23151B">
      <w:pPr>
        <w:pStyle w:val="Heading2"/>
      </w:pPr>
      <w:r>
        <w:t>How accessible is this website?</w:t>
      </w:r>
    </w:p>
    <w:p w:rsidR="640BE906" w:rsidP="0F0A0B2D" w:rsidRDefault="640BE906" w14:paraId="29979644" w14:textId="4142286A">
      <w:r>
        <w:t xml:space="preserve">Finland’s Act on the Provision of Digital Services states that </w:t>
      </w:r>
      <w:r w:rsidR="6056F833">
        <w:t xml:space="preserve">public websites </w:t>
      </w:r>
      <w:r>
        <w:t xml:space="preserve">must be accessible. In other words, everyone should have an equal opportunity to use websites. </w:t>
      </w:r>
    </w:p>
    <w:p w:rsidR="640BE906" w:rsidP="0F0A0B2D" w:rsidRDefault="640BE906" w14:paraId="321F6CCC" w14:textId="40DA3AA7">
      <w:pPr>
        <w:rPr>
          <w:i/>
          <w:iCs/>
        </w:rPr>
      </w:pPr>
      <w:r w:rsidRPr="0F0A0B2D">
        <w:rPr>
          <w:i/>
          <w:iCs/>
        </w:rPr>
        <w:t>Compliance status. Choose one of the following:</w:t>
      </w:r>
    </w:p>
    <w:p w:rsidR="640BE906" w:rsidP="0F0A0B2D" w:rsidRDefault="640BE906" w14:paraId="7677BE2C" w14:textId="0FF09085">
      <w:r>
        <w:t xml:space="preserve">The website is fully complaint with </w:t>
      </w:r>
      <w:proofErr w:type="gramStart"/>
      <w:r>
        <w:t>all of</w:t>
      </w:r>
      <w:proofErr w:type="gramEnd"/>
      <w:r>
        <w:t xml:space="preserve"> the statutorily mandated accessibility requirements (WCAG criteria 2.1, A and AA standards).</w:t>
      </w:r>
    </w:p>
    <w:p w:rsidR="640BE906" w:rsidP="0F0A0B2D" w:rsidRDefault="640BE906" w14:paraId="6149C7B0" w14:textId="0986BFAA">
      <w:pPr>
        <w:rPr>
          <w:i/>
          <w:iCs/>
        </w:rPr>
      </w:pPr>
      <w:r w:rsidRPr="0F0A0B2D">
        <w:rPr>
          <w:i/>
          <w:iCs/>
        </w:rPr>
        <w:t>or</w:t>
      </w:r>
    </w:p>
    <w:p w:rsidR="640BE906" w:rsidP="0F0A0B2D" w:rsidRDefault="640BE906" w14:paraId="551A111A" w14:textId="76E6D353">
      <w:r>
        <w:t xml:space="preserve">The website is for the most part complaint with </w:t>
      </w:r>
      <w:proofErr w:type="gramStart"/>
      <w:r>
        <w:t>all of</w:t>
      </w:r>
      <w:proofErr w:type="gramEnd"/>
      <w:r>
        <w:t xml:space="preserve"> the statutorily mandated accessibility requirements (WCAG criteria 2.1, A and AA standards). The website has some accessibility shortcomings which are described in more detail below.  </w:t>
      </w:r>
    </w:p>
    <w:p w:rsidR="640BE906" w:rsidP="0F0A0B2D" w:rsidRDefault="640BE906" w14:paraId="75673190" w14:textId="3FB4D11A">
      <w:pPr>
        <w:rPr>
          <w:i/>
          <w:iCs/>
        </w:rPr>
      </w:pPr>
      <w:r w:rsidRPr="0F0A0B2D">
        <w:rPr>
          <w:i/>
          <w:iCs/>
        </w:rPr>
        <w:t>or</w:t>
      </w:r>
    </w:p>
    <w:p w:rsidR="640BE906" w:rsidP="0F0A0B2D" w:rsidRDefault="640BE906" w14:paraId="1AF57EBE" w14:textId="4ED0A9DA">
      <w:r>
        <w:t xml:space="preserve">The website is partially complaint with the statutorily mandated accessibility requirements (WCAG criteria 2.1, A and AA standards). The website has significant accessibility shortcomings which are described in more detail below. </w:t>
      </w:r>
    </w:p>
    <w:p w:rsidR="640BE906" w:rsidP="0F0A0B2D" w:rsidRDefault="640BE906" w14:paraId="17756F6B" w14:textId="7B111B57">
      <w:pPr>
        <w:rPr>
          <w:i/>
          <w:iCs/>
        </w:rPr>
      </w:pPr>
      <w:r w:rsidRPr="0F0A0B2D">
        <w:rPr>
          <w:i/>
          <w:iCs/>
        </w:rPr>
        <w:t>or</w:t>
      </w:r>
    </w:p>
    <w:p w:rsidR="640BE906" w:rsidP="0F0A0B2D" w:rsidRDefault="640BE906" w14:paraId="477A764F" w14:textId="64D73E91">
      <w:r w:rsidR="640BE906">
        <w:rPr/>
        <w:t xml:space="preserve">The accessibility of the website has not yet been assessed. We will commission an assessment of the website’ accessibility by </w:t>
      </w:r>
      <w:r w:rsidRPr="3F1E8B7C" w:rsidR="640BE906">
        <w:rPr>
          <w:u w:val="single"/>
        </w:rPr>
        <w:t>XX</w:t>
      </w:r>
      <w:r w:rsidRPr="3F1E8B7C" w:rsidR="594A0562">
        <w:rPr>
          <w:u w:val="single"/>
        </w:rPr>
        <w:t>X</w:t>
      </w:r>
      <w:r w:rsidRPr="3F1E8B7C" w:rsidR="640BE906">
        <w:rPr>
          <w:u w:val="single"/>
        </w:rPr>
        <w:t>XX</w:t>
      </w:r>
      <w:r w:rsidR="640BE906">
        <w:rPr/>
        <w:t>.</w:t>
      </w:r>
    </w:p>
    <w:p w:rsidR="640BE906" w:rsidP="0F0A0B2D" w:rsidRDefault="640BE906" w14:paraId="513EB946" w14:textId="1B02C3D9">
      <w:pPr>
        <w:rPr>
          <w:i/>
          <w:iCs/>
        </w:rPr>
      </w:pPr>
      <w:r w:rsidRPr="0F0A0B2D">
        <w:rPr>
          <w:i/>
          <w:iCs/>
        </w:rPr>
        <w:t>If the website is fully complaint with the accessibility requirements, complete the next section: Accessibility assessment</w:t>
      </w:r>
      <w:r w:rsidR="00E56592">
        <w:rPr>
          <w:i/>
          <w:iCs/>
        </w:rPr>
        <w:t>.</w:t>
      </w:r>
    </w:p>
    <w:p w:rsidR="640BE906" w:rsidP="0F0A0B2D" w:rsidRDefault="640BE906" w14:paraId="7D8E2B02" w14:textId="1D123836">
      <w:pPr>
        <w:rPr>
          <w:i/>
          <w:iCs/>
        </w:rPr>
      </w:pPr>
      <w:r w:rsidRPr="0F0A0B2D">
        <w:rPr>
          <w:i/>
          <w:iCs/>
        </w:rPr>
        <w:t xml:space="preserve">If the website is for the most part or partially complaint with the accessibility requirements, complete the following sections: </w:t>
      </w:r>
      <w:proofErr w:type="gramStart"/>
      <w:r w:rsidRPr="0F0A0B2D">
        <w:rPr>
          <w:i/>
          <w:iCs/>
        </w:rPr>
        <w:t>Non-accessible</w:t>
      </w:r>
      <w:proofErr w:type="gramEnd"/>
      <w:r w:rsidRPr="0F0A0B2D">
        <w:rPr>
          <w:i/>
          <w:iCs/>
        </w:rPr>
        <w:t xml:space="preserve"> content, Content outside the scope of the applicable legislation and the Accessibility assessment.</w:t>
      </w:r>
    </w:p>
    <w:p w:rsidR="640BE906" w:rsidP="0F0A0B2D" w:rsidRDefault="640BE906" w14:paraId="163D889A" w14:textId="2B8FD4A6">
      <w:pPr>
        <w:rPr>
          <w:i/>
          <w:iCs/>
        </w:rPr>
      </w:pPr>
      <w:r w:rsidRPr="0F0A0B2D">
        <w:rPr>
          <w:i/>
          <w:iCs/>
        </w:rPr>
        <w:t xml:space="preserve">If the website's accessibility has not been assessed, omit the following sections: </w:t>
      </w:r>
      <w:proofErr w:type="gramStart"/>
      <w:r w:rsidRPr="0F0A0B2D">
        <w:rPr>
          <w:i/>
          <w:iCs/>
        </w:rPr>
        <w:t>Non-accessible</w:t>
      </w:r>
      <w:proofErr w:type="gramEnd"/>
      <w:r w:rsidRPr="0F0A0B2D">
        <w:rPr>
          <w:i/>
          <w:iCs/>
        </w:rPr>
        <w:t xml:space="preserve"> content, Content outside the scope of the applicable legislation and Accessibility assessment.</w:t>
      </w:r>
    </w:p>
    <w:p w:rsidR="640BE906" w:rsidP="0F0A0B2D" w:rsidRDefault="640BE906" w14:paraId="7407D841" w14:textId="150BBC9F">
      <w:pPr>
        <w:pStyle w:val="Heading3"/>
      </w:pPr>
      <w:r>
        <w:t>Non-accessible content</w:t>
      </w:r>
    </w:p>
    <w:p w:rsidR="640BE906" w:rsidP="0F0A0B2D" w:rsidRDefault="640BE906" w14:paraId="47E8AF56" w14:textId="2B4FA394">
      <w:r>
        <w:t xml:space="preserve">The website is not fully accessible. The content or functions listed below are not fully complaint with the statutory mandated accessibility requirements. </w:t>
      </w:r>
      <w:r w:rsidR="624FB6F1">
        <w:t>We strive to continuously correct any detected shortcomings. This accessibility statement’s list of shortcomings is updated every time we rectify a shortcoming.</w:t>
      </w:r>
    </w:p>
    <w:p w:rsidR="640BE906" w:rsidP="0F0A0B2D" w:rsidRDefault="640BE906" w14:paraId="3E014361" w14:textId="78A830CA">
      <w:pPr>
        <w:rPr>
          <w:i/>
          <w:iCs/>
        </w:rPr>
      </w:pPr>
      <w:r w:rsidRPr="0F0A0B2D">
        <w:rPr>
          <w:i/>
          <w:iCs/>
        </w:rPr>
        <w:t>List the detected shortcomings</w:t>
      </w:r>
      <w:r w:rsidRPr="0F0A0B2D" w:rsidR="41A2298A">
        <w:rPr>
          <w:i/>
          <w:iCs/>
        </w:rPr>
        <w:t>.</w:t>
      </w:r>
    </w:p>
    <w:p w:rsidR="640BE906" w:rsidP="0F0A0B2D" w:rsidRDefault="640BE906" w14:paraId="7F344C79" w14:textId="00CC6087">
      <w:pPr>
        <w:pStyle w:val="Heading4"/>
      </w:pPr>
      <w:r>
        <w:t xml:space="preserve">Assign a title to the specific accessibility shortcoming, for example: </w:t>
      </w:r>
      <w:proofErr w:type="gramStart"/>
      <w:r>
        <w:t>Icons</w:t>
      </w:r>
      <w:proofErr w:type="gramEnd"/>
    </w:p>
    <w:p w:rsidR="640BE906" w:rsidP="0F0A0B2D" w:rsidRDefault="640BE906" w14:paraId="38DA0337" w14:textId="1FA492FF">
      <w:pPr>
        <w:pStyle w:val="ListParagraph"/>
        <w:numPr>
          <w:ilvl w:val="0"/>
          <w:numId w:val="2"/>
        </w:numPr>
      </w:pPr>
      <w:r>
        <w:t>Describe the accessibility shortcoming in more detail, for example: Not all icons have a text equivalent. (WCAG 1.1.1)</w:t>
      </w:r>
    </w:p>
    <w:p w:rsidR="640BE906" w:rsidP="0F0A0B2D" w:rsidRDefault="640BE906" w14:paraId="4436166A" w14:textId="455B723F">
      <w:pPr>
        <w:pStyle w:val="Heading3"/>
      </w:pPr>
      <w:r>
        <w:t>Content outside the scope of the applicable legislation</w:t>
      </w:r>
    </w:p>
    <w:p w:rsidR="640BE906" w:rsidP="0F0A0B2D" w:rsidRDefault="640BE906" w14:paraId="6B52B87A" w14:textId="60BD1770">
      <w:pPr>
        <w:rPr>
          <w:i/>
          <w:iCs/>
        </w:rPr>
      </w:pPr>
      <w:r w:rsidRPr="0F0A0B2D">
        <w:rPr>
          <w:i/>
          <w:iCs/>
        </w:rPr>
        <w:t>Omit this section if it is not essential in terms of the website.</w:t>
      </w:r>
    </w:p>
    <w:p w:rsidR="640BE906" w:rsidP="0F0A0B2D" w:rsidRDefault="640BE906" w14:paraId="24CBFF2D" w14:textId="51A57770">
      <w:r>
        <w:t>The accessibility requirements do not apply to the following content:</w:t>
      </w:r>
    </w:p>
    <w:p w:rsidR="640BE906" w:rsidP="0F0A0B2D" w:rsidRDefault="640BE906" w14:paraId="237C3689" w14:textId="6D2103CF">
      <w:pPr>
        <w:pStyle w:val="ListParagraph"/>
        <w:numPr>
          <w:ilvl w:val="0"/>
          <w:numId w:val="1"/>
        </w:numPr>
      </w:pPr>
      <w:r>
        <w:t xml:space="preserve">training material used on a temporary basis for limited </w:t>
      </w:r>
      <w:proofErr w:type="gramStart"/>
      <w:r>
        <w:t>groups</w:t>
      </w:r>
      <w:proofErr w:type="gramEnd"/>
    </w:p>
    <w:p w:rsidR="640BE906" w:rsidP="0F0A0B2D" w:rsidRDefault="640BE906" w14:paraId="6E63C458" w14:textId="7ED7EA32">
      <w:pPr>
        <w:pStyle w:val="ListParagraph"/>
        <w:numPr>
          <w:ilvl w:val="0"/>
          <w:numId w:val="1"/>
        </w:numPr>
      </w:pPr>
      <w:r>
        <w:t xml:space="preserve">material put out by users or other external parties that is not produced, funded or monitored by the service </w:t>
      </w:r>
      <w:proofErr w:type="gramStart"/>
      <w:r>
        <w:t>provider</w:t>
      </w:r>
      <w:proofErr w:type="gramEnd"/>
    </w:p>
    <w:p w:rsidR="640BE906" w:rsidP="0F0A0B2D" w:rsidRDefault="640BE906" w14:paraId="7BD40636" w14:textId="434F47F2">
      <w:pPr>
        <w:pStyle w:val="ListParagraph"/>
        <w:numPr>
          <w:ilvl w:val="0"/>
          <w:numId w:val="1"/>
        </w:numPr>
      </w:pPr>
      <w:r>
        <w:t xml:space="preserve">material from cultural heritage collections that cannot be changed to a form that meets the accessibility </w:t>
      </w:r>
      <w:proofErr w:type="gramStart"/>
      <w:r>
        <w:t>requirements</w:t>
      </w:r>
      <w:proofErr w:type="gramEnd"/>
    </w:p>
    <w:p w:rsidR="640BE906" w:rsidP="0F0A0B2D" w:rsidRDefault="640BE906" w14:paraId="0250EFE9" w14:textId="2FE9041D">
      <w:pPr>
        <w:pStyle w:val="ListParagraph"/>
        <w:numPr>
          <w:ilvl w:val="0"/>
          <w:numId w:val="1"/>
        </w:numPr>
      </w:pPr>
      <w:r>
        <w:t>maps not intended for navigational use (for example, weather or terrain maps)</w:t>
      </w:r>
    </w:p>
    <w:p w:rsidR="640BE906" w:rsidP="0F0A0B2D" w:rsidRDefault="640BE906" w14:paraId="0F410C7E" w14:textId="58AD646C">
      <w:pPr>
        <w:pStyle w:val="ListParagraph"/>
        <w:numPr>
          <w:ilvl w:val="0"/>
          <w:numId w:val="1"/>
        </w:numPr>
      </w:pPr>
      <w:r>
        <w:t>MS Office files (for example, .doc, PDF and ODT) that were published before 23 September 2018</w:t>
      </w:r>
    </w:p>
    <w:p w:rsidR="640BE906" w:rsidP="0F0A0B2D" w:rsidRDefault="640BE906" w14:paraId="6AB5E4F0" w14:textId="5A0ECA0C">
      <w:pPr>
        <w:pStyle w:val="ListParagraph"/>
        <w:numPr>
          <w:ilvl w:val="0"/>
          <w:numId w:val="1"/>
        </w:numPr>
      </w:pPr>
      <w:r>
        <w:t>online content that was archived before 23 September 2018</w:t>
      </w:r>
    </w:p>
    <w:p w:rsidR="640BE906" w:rsidP="0F0A0B2D" w:rsidRDefault="640BE906" w14:paraId="4DBC2DCE" w14:textId="2C12F904">
      <w:pPr>
        <w:pStyle w:val="ListParagraph"/>
        <w:numPr>
          <w:ilvl w:val="0"/>
          <w:numId w:val="1"/>
        </w:numPr>
      </w:pPr>
      <w:r>
        <w:t xml:space="preserve">live video or audio broadcasts that are not recorded for purposes of being saved or </w:t>
      </w:r>
      <w:proofErr w:type="gramStart"/>
      <w:r>
        <w:t>re-released</w:t>
      </w:r>
      <w:proofErr w:type="gramEnd"/>
    </w:p>
    <w:p w:rsidR="640BE906" w:rsidP="0F0A0B2D" w:rsidRDefault="640BE906" w14:paraId="2C5283BD" w14:textId="60531EA7">
      <w:pPr>
        <w:pStyle w:val="ListParagraph"/>
        <w:numPr>
          <w:ilvl w:val="0"/>
          <w:numId w:val="1"/>
        </w:numPr>
      </w:pPr>
      <w:r>
        <w:t>video or audio recordings released before 23 September 2018</w:t>
      </w:r>
    </w:p>
    <w:p w:rsidR="640BE906" w:rsidP="0F0A0B2D" w:rsidRDefault="640BE906" w14:paraId="2052C999" w14:textId="4497D1D4">
      <w:pPr>
        <w:pStyle w:val="Heading2"/>
      </w:pPr>
      <w:r>
        <w:t>Accessibility assessment</w:t>
      </w:r>
    </w:p>
    <w:p w:rsidR="640BE906" w:rsidP="0F0A0B2D" w:rsidRDefault="640BE906" w14:paraId="3CB29685" w14:textId="03BB1B85">
      <w:r>
        <w:t xml:space="preserve">The accessibility assessment follows the City of Helsinki’s operational guidelines and methods that aim to secure the service’s accessibility throughout every work stage. </w:t>
      </w:r>
    </w:p>
    <w:p w:rsidR="640BE906" w:rsidP="0F0A0B2D" w:rsidRDefault="640BE906" w14:paraId="268EF968" w14:textId="7598680B">
      <w:pPr>
        <w:rPr>
          <w:i/>
          <w:iCs/>
        </w:rPr>
      </w:pPr>
      <w:r w:rsidRPr="0F0A0B2D">
        <w:rPr>
          <w:i/>
          <w:iCs/>
        </w:rPr>
        <w:t>Select one of the following:</w:t>
      </w:r>
    </w:p>
    <w:p w:rsidR="640BE906" w:rsidP="0F0A0B2D" w:rsidRDefault="640BE906" w14:paraId="4F1610F3" w14:textId="6E3501F1">
      <w:r>
        <w:t xml:space="preserve">The accessibility of the website has been assessed by both a self-assessment and a third-party expert audit. The assessment included programmatic accessibility testing and a manual examination of the website and its content. </w:t>
      </w:r>
    </w:p>
    <w:p w:rsidR="640BE906" w:rsidP="0F0A0B2D" w:rsidRDefault="640BE906" w14:paraId="2A7A0CCC" w14:textId="253DEFF0">
      <w:pPr>
        <w:rPr>
          <w:i/>
          <w:iCs/>
        </w:rPr>
      </w:pPr>
      <w:r w:rsidRPr="0F0A0B2D">
        <w:rPr>
          <w:i/>
          <w:iCs/>
        </w:rPr>
        <w:t>or</w:t>
      </w:r>
    </w:p>
    <w:p w:rsidR="640BE906" w:rsidP="0F0A0B2D" w:rsidRDefault="640BE906" w14:paraId="3BDC4F27" w14:textId="3EBB5981">
      <w:r>
        <w:t xml:space="preserve">The accessibility of the website has been assessed by a third-party expert audit. The assessment included programmatic accessibility testing and a manual examination of the website and its content. </w:t>
      </w:r>
    </w:p>
    <w:p w:rsidR="640BE906" w:rsidP="0F0A0B2D" w:rsidRDefault="640BE906" w14:paraId="35E67568" w14:textId="216A06EC">
      <w:pPr>
        <w:rPr>
          <w:i/>
          <w:iCs/>
        </w:rPr>
      </w:pPr>
      <w:r w:rsidRPr="0F0A0B2D">
        <w:rPr>
          <w:i/>
          <w:iCs/>
        </w:rPr>
        <w:t>or</w:t>
      </w:r>
    </w:p>
    <w:p w:rsidR="640BE906" w:rsidP="0F0A0B2D" w:rsidRDefault="640BE906" w14:paraId="57E71939" w14:textId="1E0C05D4">
      <w:r>
        <w:t xml:space="preserve">The accessibility of the website has been assessed by a self-assessment. The assessment included programmatic accessibility testing and a manual examination of the website and its content. </w:t>
      </w:r>
    </w:p>
    <w:p w:rsidR="3C500B55" w:rsidP="0F0A0B2D" w:rsidRDefault="3C500B55" w14:paraId="7C8B18BC" w14:textId="5AF21085">
      <w:pPr>
        <w:pStyle w:val="Heading2"/>
      </w:pPr>
      <w:r>
        <w:t>Did you notice shortcomings in accessibility?</w:t>
      </w:r>
    </w:p>
    <w:p w:rsidR="640BE906" w:rsidP="0F0A0B2D" w:rsidRDefault="640BE906" w14:paraId="2F524FB1" w14:textId="48293E6B">
      <w:r>
        <w:t xml:space="preserve">We aim to continuously improve the accessibility of our website. If you encounter non-compliant content on the website that is not described on this page, please report it to us. </w:t>
      </w:r>
      <w:hyperlink r:id="rId8">
        <w:r w:rsidRPr="0F0A0B2D">
          <w:rPr>
            <w:rStyle w:val="Hyperlink"/>
          </w:rPr>
          <w:t>Send your feedback by filling out the City of Helsinki’s feedback form</w:t>
        </w:r>
      </w:hyperlink>
      <w:r>
        <w:t>.</w:t>
      </w:r>
    </w:p>
    <w:p w:rsidR="640BE906" w:rsidP="0F0A0B2D" w:rsidRDefault="640BE906" w14:paraId="724D53B9" w14:textId="0804B99D">
      <w:pPr>
        <w:pStyle w:val="Heading2"/>
      </w:pPr>
      <w:r>
        <w:t>Accessibility monitoring</w:t>
      </w:r>
    </w:p>
    <w:p w:rsidR="640BE906" w:rsidP="0F0A0B2D" w:rsidRDefault="640BE906" w14:paraId="75BFDF6A" w14:textId="0997D691">
      <w:r w:rsidR="640BE906">
        <w:rPr/>
        <w:t xml:space="preserve">The </w:t>
      </w:r>
      <w:r w:rsidR="784B54DB">
        <w:rPr/>
        <w:t xml:space="preserve">Finnish Transport and Communications Agency </w:t>
      </w:r>
      <w:r w:rsidR="784B54DB">
        <w:rPr/>
        <w:t>Traficom</w:t>
      </w:r>
      <w:r w:rsidR="640BE906">
        <w:rPr/>
        <w:t xml:space="preserve"> enforces compliance with accessibility requirements. If you are dissatisfied with the reply you received from us about a detected accessibility shortcoming or you did not receive a reply within 14 days, you may </w:t>
      </w:r>
      <w:r w:rsidR="640BE906">
        <w:rPr/>
        <w:t>submit</w:t>
      </w:r>
      <w:r w:rsidR="640BE906">
        <w:rPr/>
        <w:t xml:space="preserve"> a complaint or request for information to the </w:t>
      </w:r>
      <w:r w:rsidR="276959FE">
        <w:rPr/>
        <w:t>Finnish Transport and Communications Agency Traficom</w:t>
      </w:r>
      <w:r w:rsidR="640BE906">
        <w:rPr/>
        <w:t xml:space="preserve">. The website of the </w:t>
      </w:r>
      <w:r w:rsidR="6DA091D0">
        <w:rPr/>
        <w:t>Finnish Transport and Communications Agency Traficom</w:t>
      </w:r>
      <w:r w:rsidR="640BE906">
        <w:rPr/>
        <w:t xml:space="preserve"> has information on </w:t>
      </w:r>
      <w:r w:rsidR="640BE906">
        <w:rPr/>
        <w:t>submitting</w:t>
      </w:r>
      <w:r w:rsidR="640BE906">
        <w:rPr/>
        <w:t xml:space="preserve"> a complaint and how complaints are processed.</w:t>
      </w:r>
    </w:p>
    <w:p w:rsidR="2E08FAFE" w:rsidRDefault="2E08FAFE" w14:paraId="7C6EF5C1" w14:textId="3D6777CB">
      <w:r w:rsidR="2E08FAFE">
        <w:rPr/>
        <w:t>Finnish Transport and Communications Agency Traficom</w:t>
      </w:r>
      <w:r>
        <w:br/>
      </w:r>
      <w:r w:rsidR="2E08FAFE">
        <w:rPr/>
        <w:t>Digital Accessibility Supervision Unit</w:t>
      </w:r>
      <w:r>
        <w:br/>
      </w:r>
      <w:r w:rsidR="302A6723">
        <w:rPr/>
        <w:t>www.webaccessibility.fi</w:t>
      </w:r>
      <w:r>
        <w:br/>
      </w:r>
      <w:r w:rsidR="2D32C6A2">
        <w:rPr/>
        <w:t xml:space="preserve">E-mail: </w:t>
      </w:r>
      <w:r w:rsidR="2D32C6A2">
        <w:rPr/>
        <w:t>saavutettavuus@traficom.fi</w:t>
      </w:r>
      <w:r>
        <w:br/>
      </w:r>
      <w:r w:rsidR="2D32C6A2">
        <w:rPr/>
        <w:t>Telephone number: 029 534 5000 (Switchboard)</w:t>
      </w:r>
    </w:p>
    <w:p w:rsidR="640BE906" w:rsidP="0F0A0B2D" w:rsidRDefault="640BE906" w14:paraId="6ADBF402" w14:textId="065BAF6A">
      <w:pPr>
        <w:pStyle w:val="Heading2"/>
      </w:pPr>
      <w:r>
        <w:t>Accessibility statement information</w:t>
      </w:r>
    </w:p>
    <w:p w:rsidR="640BE906" w:rsidP="0F0A0B2D" w:rsidRDefault="640BE906" w14:paraId="1A269785" w14:textId="58A94B6F">
      <w:r>
        <w:t xml:space="preserve">This website was published on </w:t>
      </w:r>
      <w:r w:rsidRPr="0F0A0B2D" w:rsidR="41AB726D">
        <w:rPr>
          <w:u w:val="single"/>
        </w:rPr>
        <w:t>XX.</w:t>
      </w:r>
      <w:proofErr w:type="gramStart"/>
      <w:r w:rsidRPr="0F0A0B2D" w:rsidR="41AB726D">
        <w:rPr>
          <w:u w:val="single"/>
        </w:rPr>
        <w:t>XX.XXXX</w:t>
      </w:r>
      <w:proofErr w:type="gramEnd"/>
      <w:r>
        <w:t>.</w:t>
      </w:r>
    </w:p>
    <w:p w:rsidR="640BE906" w:rsidP="0F0A0B2D" w:rsidRDefault="640BE906" w14:paraId="0ED38300" w14:textId="5A88DBEE">
      <w:r>
        <w:t>This accessibility statement was prepared on</w:t>
      </w:r>
      <w:r w:rsidR="5C0BC76B">
        <w:t xml:space="preserve"> </w:t>
      </w:r>
      <w:r w:rsidRPr="0F0A0B2D" w:rsidR="5C0BC76B">
        <w:rPr>
          <w:u w:val="single"/>
        </w:rPr>
        <w:t>XX.</w:t>
      </w:r>
      <w:proofErr w:type="gramStart"/>
      <w:r w:rsidRPr="0F0A0B2D" w:rsidR="5C0BC76B">
        <w:rPr>
          <w:u w:val="single"/>
        </w:rPr>
        <w:t>XX.XXXX</w:t>
      </w:r>
      <w:proofErr w:type="gramEnd"/>
      <w:r>
        <w:t>.</w:t>
      </w:r>
    </w:p>
    <w:p w:rsidR="640BE906" w:rsidP="0F0A0B2D" w:rsidRDefault="640BE906" w14:paraId="3C0009A9" w14:textId="4BE7B9C5">
      <w:r>
        <w:t xml:space="preserve">This accessibility statement was last reviewed on </w:t>
      </w:r>
      <w:r w:rsidRPr="0F0A0B2D" w:rsidR="73D4A00D">
        <w:rPr>
          <w:u w:val="single"/>
        </w:rPr>
        <w:t>XX.</w:t>
      </w:r>
      <w:proofErr w:type="gramStart"/>
      <w:r w:rsidRPr="0F0A0B2D" w:rsidR="73D4A00D">
        <w:rPr>
          <w:u w:val="single"/>
        </w:rPr>
        <w:t>XX.XXXX</w:t>
      </w:r>
      <w:proofErr w:type="gramEnd"/>
      <w:r>
        <w:t>.</w:t>
      </w:r>
    </w:p>
    <w:p w:rsidR="640BE906" w:rsidP="0F0A0B2D" w:rsidRDefault="00E56592" w14:paraId="581B730E" w14:textId="23781316">
      <w:hyperlink r:id="rId10">
        <w:r w:rsidRPr="0F0A0B2D" w:rsidR="640BE906">
          <w:rPr>
            <w:rStyle w:val="Hyperlink"/>
          </w:rPr>
          <w:t>Act on the Provision of Digital Services (306/2019)</w:t>
        </w:r>
      </w:hyperlink>
    </w:p>
    <w:p w:rsidR="0F0A0B2D" w:rsidP="0F0A0B2D" w:rsidRDefault="0F0A0B2D" w14:paraId="2D00D290" w14:textId="1AA0B4B8"/>
    <w:sectPr w:rsidR="0F0A0B2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B58A"/>
    <w:multiLevelType w:val="hybridMultilevel"/>
    <w:tmpl w:val="D57EF6BA"/>
    <w:lvl w:ilvl="0" w:tplc="EF3695B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56220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EEBF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BE09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6E55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B04F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223E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DA26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1023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532ACF"/>
    <w:multiLevelType w:val="hybridMultilevel"/>
    <w:tmpl w:val="935A4BDC"/>
    <w:lvl w:ilvl="0" w:tplc="C800489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21CB6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C09C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9074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CDA92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44EA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1CF5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B0AA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6671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D478204"/>
    <w:multiLevelType w:val="hybridMultilevel"/>
    <w:tmpl w:val="FFFFFFFF"/>
    <w:lvl w:ilvl="0" w:tplc="E03E6AF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FE0F2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2850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C6C8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D527B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EA31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FA64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6433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2876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843FE37"/>
    <w:multiLevelType w:val="hybridMultilevel"/>
    <w:tmpl w:val="FFFFFFFF"/>
    <w:lvl w:ilvl="0" w:tplc="D012BEB8">
      <w:start w:val="1"/>
      <w:numFmt w:val="bullet"/>
      <w:pStyle w:val="ListParagraph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7EE23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8E63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34F5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4293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AADE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9007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EA3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188A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45728986">
    <w:abstractNumId w:val="1"/>
  </w:num>
  <w:num w:numId="2" w16cid:durableId="1250696716">
    <w:abstractNumId w:val="0"/>
  </w:num>
  <w:num w:numId="3" w16cid:durableId="1373726465">
    <w:abstractNumId w:val="3"/>
  </w:num>
  <w:num w:numId="4" w16cid:durableId="179096860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24A276"/>
    <w:rsid w:val="000C17C4"/>
    <w:rsid w:val="00201A60"/>
    <w:rsid w:val="00264692"/>
    <w:rsid w:val="004D20F6"/>
    <w:rsid w:val="00883077"/>
    <w:rsid w:val="00E56592"/>
    <w:rsid w:val="00F070F8"/>
    <w:rsid w:val="01948DAB"/>
    <w:rsid w:val="027810EB"/>
    <w:rsid w:val="0413E14C"/>
    <w:rsid w:val="04AC686F"/>
    <w:rsid w:val="051E9E08"/>
    <w:rsid w:val="0626EBC1"/>
    <w:rsid w:val="062BDAB9"/>
    <w:rsid w:val="064838D0"/>
    <w:rsid w:val="07E1035A"/>
    <w:rsid w:val="07E40931"/>
    <w:rsid w:val="082E78D0"/>
    <w:rsid w:val="092A1E4F"/>
    <w:rsid w:val="0AFA5CE4"/>
    <w:rsid w:val="0B816F99"/>
    <w:rsid w:val="0C40656C"/>
    <w:rsid w:val="0C962D45"/>
    <w:rsid w:val="0DF6DDB0"/>
    <w:rsid w:val="0E950F34"/>
    <w:rsid w:val="0EAD8A66"/>
    <w:rsid w:val="0F0A0B2D"/>
    <w:rsid w:val="10119606"/>
    <w:rsid w:val="101265DA"/>
    <w:rsid w:val="1027D26A"/>
    <w:rsid w:val="10B77865"/>
    <w:rsid w:val="11699E68"/>
    <w:rsid w:val="120DA40D"/>
    <w:rsid w:val="1296223B"/>
    <w:rsid w:val="13056EC9"/>
    <w:rsid w:val="13BD0CAF"/>
    <w:rsid w:val="157D8584"/>
    <w:rsid w:val="15BE04D4"/>
    <w:rsid w:val="16F7C97F"/>
    <w:rsid w:val="1725CB5F"/>
    <w:rsid w:val="1772537E"/>
    <w:rsid w:val="17D39305"/>
    <w:rsid w:val="189399E0"/>
    <w:rsid w:val="1A7097F2"/>
    <w:rsid w:val="1A86337F"/>
    <w:rsid w:val="1C0C6853"/>
    <w:rsid w:val="1C946DAC"/>
    <w:rsid w:val="1DC7FEB2"/>
    <w:rsid w:val="1F63CF13"/>
    <w:rsid w:val="228DC42D"/>
    <w:rsid w:val="23A8C918"/>
    <w:rsid w:val="240F7A59"/>
    <w:rsid w:val="24F4D22D"/>
    <w:rsid w:val="25F257D3"/>
    <w:rsid w:val="276580D0"/>
    <w:rsid w:val="276959FE"/>
    <w:rsid w:val="28078621"/>
    <w:rsid w:val="28DC0637"/>
    <w:rsid w:val="2A4D7B91"/>
    <w:rsid w:val="2BE816B1"/>
    <w:rsid w:val="2CA2A446"/>
    <w:rsid w:val="2D32C6A2"/>
    <w:rsid w:val="2E08FAFE"/>
    <w:rsid w:val="2EB235B3"/>
    <w:rsid w:val="2EC99342"/>
    <w:rsid w:val="302A6723"/>
    <w:rsid w:val="31F05DD4"/>
    <w:rsid w:val="321BB5E3"/>
    <w:rsid w:val="344CFF59"/>
    <w:rsid w:val="380FBA98"/>
    <w:rsid w:val="3874603A"/>
    <w:rsid w:val="38A75F90"/>
    <w:rsid w:val="3C500B55"/>
    <w:rsid w:val="3DEC517C"/>
    <w:rsid w:val="3E1736C6"/>
    <w:rsid w:val="3F1E8B7C"/>
    <w:rsid w:val="3F523550"/>
    <w:rsid w:val="3F82F7D9"/>
    <w:rsid w:val="4051DBAB"/>
    <w:rsid w:val="40554077"/>
    <w:rsid w:val="4089F879"/>
    <w:rsid w:val="4163EBA9"/>
    <w:rsid w:val="41A2298A"/>
    <w:rsid w:val="41AB726D"/>
    <w:rsid w:val="41AD7B75"/>
    <w:rsid w:val="41C56E91"/>
    <w:rsid w:val="428944FB"/>
    <w:rsid w:val="4425155C"/>
    <w:rsid w:val="4429D412"/>
    <w:rsid w:val="44C48F90"/>
    <w:rsid w:val="471C585F"/>
    <w:rsid w:val="4E23CEDB"/>
    <w:rsid w:val="4EC22A51"/>
    <w:rsid w:val="4F897463"/>
    <w:rsid w:val="5280F66A"/>
    <w:rsid w:val="52C11525"/>
    <w:rsid w:val="531E343E"/>
    <w:rsid w:val="533295EF"/>
    <w:rsid w:val="545CE586"/>
    <w:rsid w:val="581B91A5"/>
    <w:rsid w:val="594A0562"/>
    <w:rsid w:val="59992C53"/>
    <w:rsid w:val="5BEA6859"/>
    <w:rsid w:val="5C0BC76B"/>
    <w:rsid w:val="5CA57510"/>
    <w:rsid w:val="5EDAC3B9"/>
    <w:rsid w:val="5F700393"/>
    <w:rsid w:val="6044AAED"/>
    <w:rsid w:val="6056F833"/>
    <w:rsid w:val="60DC5EAE"/>
    <w:rsid w:val="618A571D"/>
    <w:rsid w:val="624FB6F1"/>
    <w:rsid w:val="62500D08"/>
    <w:rsid w:val="640BE906"/>
    <w:rsid w:val="671BFD09"/>
    <w:rsid w:val="67B71960"/>
    <w:rsid w:val="69711A15"/>
    <w:rsid w:val="69F518FB"/>
    <w:rsid w:val="6CF6AD47"/>
    <w:rsid w:val="6D69C11F"/>
    <w:rsid w:val="6DA091D0"/>
    <w:rsid w:val="6DFEFDCC"/>
    <w:rsid w:val="6E3E9D83"/>
    <w:rsid w:val="6E4FB1C8"/>
    <w:rsid w:val="6EE58840"/>
    <w:rsid w:val="6EF4862C"/>
    <w:rsid w:val="6F08FB08"/>
    <w:rsid w:val="700F2A02"/>
    <w:rsid w:val="714F3D4B"/>
    <w:rsid w:val="735F8E68"/>
    <w:rsid w:val="73D4A00D"/>
    <w:rsid w:val="7524A276"/>
    <w:rsid w:val="754A9F53"/>
    <w:rsid w:val="784B54DB"/>
    <w:rsid w:val="7896B4F1"/>
    <w:rsid w:val="78DD17AC"/>
    <w:rsid w:val="7AF527D4"/>
    <w:rsid w:val="7B3EE276"/>
    <w:rsid w:val="7DB8D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24A276"/>
  <w15:chartTrackingRefBased/>
  <w15:docId w15:val="{FBE95B62-BFF4-4E9F-8EA2-F48284EFF5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F0A0B2D"/>
    <w:rPr>
      <w:rFonts w:ascii="Arial" w:hAnsi="Arial" w:eastAsia="Arial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F0A0B2D"/>
    <w:pPr>
      <w:keepNext/>
      <w:keepLines/>
      <w:spacing w:before="240" w:after="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F0A0B2D"/>
    <w:pPr>
      <w:keepNext/>
      <w:keepLines/>
      <w:spacing w:before="40" w:after="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F0A0B2D"/>
    <w:pPr>
      <w:keepNext/>
      <w:keepLines/>
      <w:spacing w:before="80" w:after="0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F0A0B2D"/>
    <w:pPr>
      <w:keepNext/>
      <w:keepLines/>
      <w:spacing w:before="40" w:after="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rsid w:val="0F0A0B2D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0F0A0B2D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uiPriority w:val="9"/>
    <w:unhideWhenUsed/>
    <w:qFormat/>
    <w:rsid w:val="0F0A0B2D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uiPriority w:val="9"/>
    <w:unhideWhenUsed/>
    <w:qFormat/>
    <w:rsid w:val="0F0A0B2D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0F0A0B2D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F0A0B2D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sid w:val="0F0A0B2D"/>
    <w:rPr>
      <w:rFonts w:eastAsiaTheme="minorEastAsia"/>
      <w:color w:val="5A5A5A"/>
    </w:rPr>
  </w:style>
  <w:style w:type="paragraph" w:styleId="Quote">
    <w:name w:val="Quote"/>
    <w:basedOn w:val="Normal"/>
    <w:next w:val="Normal"/>
    <w:uiPriority w:val="29"/>
    <w:qFormat/>
    <w:rsid w:val="0F0A0B2D"/>
    <w:pPr>
      <w:spacing w:before="200"/>
      <w:ind w:left="864" w:right="864"/>
      <w:jc w:val="center"/>
    </w:pPr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uiPriority w:val="30"/>
    <w:qFormat/>
    <w:rsid w:val="0F0A0B2D"/>
    <w:pPr>
      <w:spacing w:before="360" w:after="360"/>
      <w:ind w:left="864" w:right="864"/>
      <w:jc w:val="center"/>
    </w:pPr>
    <w:rPr>
      <w:i/>
      <w:iCs/>
      <w:color w:val="4471C4"/>
    </w:rPr>
  </w:style>
  <w:style w:type="paragraph" w:styleId="ListParagraph">
    <w:name w:val="List Paragraph"/>
    <w:basedOn w:val="Normal"/>
    <w:uiPriority w:val="34"/>
    <w:qFormat/>
    <w:rsid w:val="0F0A0B2D"/>
    <w:pPr>
      <w:numPr>
        <w:numId w:val="3"/>
      </w:numPr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F0A0B2D"/>
    <w:rPr>
      <w:rFonts w:ascii="Arial" w:hAnsi="Arial" w:eastAsia="Arial"/>
      <w:b/>
      <w:bCs/>
      <w:sz w:val="4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F0A0B2D"/>
    <w:rPr>
      <w:rFonts w:ascii="Arial" w:hAnsi="Arial" w:eastAsia="Arial" w:cs="Arial"/>
      <w:b/>
      <w:bCs/>
      <w:noProof w:val="0"/>
      <w:color w:val="auto"/>
      <w:sz w:val="40"/>
      <w:szCs w:val="40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rsid w:val="0F0A0B2D"/>
    <w:rPr>
      <w:rFonts w:ascii="Arial" w:hAnsi="Arial" w:eastAsia="Arial" w:cs="Arial"/>
      <w:b/>
      <w:bCs/>
      <w:noProof w:val="0"/>
      <w:color w:val="auto"/>
      <w:sz w:val="36"/>
      <w:szCs w:val="36"/>
      <w:lang w:val="en-GB"/>
    </w:rPr>
  </w:style>
  <w:style w:type="character" w:styleId="Heading4Char" w:customStyle="1">
    <w:name w:val="Heading 4 Char"/>
    <w:basedOn w:val="DefaultParagraphFont"/>
    <w:link w:val="Heading4"/>
    <w:uiPriority w:val="9"/>
    <w:rsid w:val="0F0A0B2D"/>
    <w:rPr>
      <w:rFonts w:ascii="Arial" w:hAnsi="Arial" w:eastAsia="Arial" w:cs="Arial"/>
      <w:b/>
      <w:bCs/>
      <w:i w:val="0"/>
      <w:iCs w:val="0"/>
      <w:noProof w:val="0"/>
      <w:color w:val="auto"/>
      <w:sz w:val="28"/>
      <w:szCs w:val="28"/>
      <w:lang w:val="en-GB"/>
    </w:rPr>
  </w:style>
  <w:style w:type="paragraph" w:styleId="TOC1">
    <w:name w:val="toc 1"/>
    <w:basedOn w:val="Normal"/>
    <w:next w:val="Normal"/>
    <w:uiPriority w:val="39"/>
    <w:unhideWhenUsed/>
    <w:rsid w:val="0F0A0B2D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0F0A0B2D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F0A0B2D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F0A0B2D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F0A0B2D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F0A0B2D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F0A0B2D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F0A0B2D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F0A0B2D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0F0A0B2D"/>
    <w:pPr>
      <w:spacing w:after="0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0F0A0B2D"/>
    <w:pPr>
      <w:tabs>
        <w:tab w:val="center" w:pos="4680"/>
        <w:tab w:val="right" w:pos="9360"/>
      </w:tabs>
      <w:spacing w:after="0"/>
    </w:pPr>
  </w:style>
  <w:style w:type="paragraph" w:styleId="FootnoteText">
    <w:name w:val="footnote text"/>
    <w:basedOn w:val="Normal"/>
    <w:uiPriority w:val="99"/>
    <w:semiHidden/>
    <w:unhideWhenUsed/>
    <w:rsid w:val="0F0A0B2D"/>
    <w:pPr>
      <w:spacing w:after="0"/>
    </w:pPr>
    <w:rPr>
      <w:sz w:val="20"/>
      <w:szCs w:val="20"/>
    </w:rPr>
  </w:style>
  <w:style w:type="paragraph" w:styleId="Header">
    <w:name w:val="header"/>
    <w:basedOn w:val="Normal"/>
    <w:uiPriority w:val="99"/>
    <w:unhideWhenUsed/>
    <w:rsid w:val="0F0A0B2D"/>
    <w:pPr>
      <w:tabs>
        <w:tab w:val="center" w:pos="4680"/>
        <w:tab w:val="right" w:pos="9360"/>
      </w:tabs>
      <w:spacing w:after="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alautteet.hel.fi/en/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s://www.finlex.fi/fi/laki/alkup/2019/20190306" TargetMode="External" Id="rId10" /><Relationship Type="http://schemas.openxmlformats.org/officeDocument/2006/relationships/numbering" Target="numbering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280656-7280-4e7c-848b-11e8b867d322">
      <Terms xmlns="http://schemas.microsoft.com/office/infopath/2007/PartnerControls"/>
    </lcf76f155ced4ddcb4097134ff3c332f>
    <TaxCatchAll xmlns="46fcde59-e350-40c2-8288-8d0ddcab9c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3FD6F072DE46842ADC458958F7F46DA" ma:contentTypeVersion="17" ma:contentTypeDescription="Luo uusi asiakirja." ma:contentTypeScope="" ma:versionID="31fff065a53d30eb0a680cf3f60373e1">
  <xsd:schema xmlns:xsd="http://www.w3.org/2001/XMLSchema" xmlns:xs="http://www.w3.org/2001/XMLSchema" xmlns:p="http://schemas.microsoft.com/office/2006/metadata/properties" xmlns:ns2="df280656-7280-4e7c-848b-11e8b867d322" xmlns:ns3="e3c7bc25-203a-4055-bfeb-12f6a433e8ae" xmlns:ns4="46fcde59-e350-40c2-8288-8d0ddcab9cfc" targetNamespace="http://schemas.microsoft.com/office/2006/metadata/properties" ma:root="true" ma:fieldsID="df68eab6fcf7ff304a106a8fe4ce74d6" ns2:_="" ns3:_="" ns4:_="">
    <xsd:import namespace="df280656-7280-4e7c-848b-11e8b867d322"/>
    <xsd:import namespace="e3c7bc25-203a-4055-bfeb-12f6a433e8ae"/>
    <xsd:import namespace="46fcde59-e350-40c2-8288-8d0ddcab9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80656-7280-4e7c-848b-11e8b867d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1b13d2ae-8643-4d9b-9691-30b7950a7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7bc25-203a-4055-bfeb-12f6a433e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cde59-e350-40c2-8288-8d0ddcab9cf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e05f5ac-dea6-4bc9-bf1b-7a2de06922fa}" ma:internalName="TaxCatchAll" ma:showField="CatchAllData" ma:web="e3c7bc25-203a-4055-bfeb-12f6a433e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922EF9-AABA-494C-A49F-AD44E4479F87}">
  <ds:schemaRefs>
    <ds:schemaRef ds:uri="http://schemas.microsoft.com/office/2006/metadata/properties"/>
    <ds:schemaRef ds:uri="http://schemas.microsoft.com/office/infopath/2007/PartnerControls"/>
    <ds:schemaRef ds:uri="df280656-7280-4e7c-848b-11e8b867d322"/>
    <ds:schemaRef ds:uri="46fcde59-e350-40c2-8288-8d0ddcab9cfc"/>
  </ds:schemaRefs>
</ds:datastoreItem>
</file>

<file path=customXml/itemProps2.xml><?xml version="1.0" encoding="utf-8"?>
<ds:datastoreItem xmlns:ds="http://schemas.openxmlformats.org/officeDocument/2006/customXml" ds:itemID="{64D85717-577F-44B6-91F7-0AC5833270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AA61B8-67BE-40F6-83F7-AA6B7D1BA1E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Helsingin kaupunki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Accessibility statement template</dc:title>
  <dc:subject>Accessibility statement template</dc:subject>
  <dc:creator>Hyvärinen Ella</dc:creator>
  <keywords>accessibility</keywords>
  <dc:description/>
  <lastModifiedBy>Hyvärinen Ella</lastModifiedBy>
  <revision>12</revision>
  <dcterms:created xsi:type="dcterms:W3CDTF">2024-03-01T11:41:00.0000000Z</dcterms:created>
  <dcterms:modified xsi:type="dcterms:W3CDTF">2025-01-07T13:28:47.3412885Z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0x010100F3FD6F072DE46842ADC458958F7F46DA</vt:lpwstr>
  </property>
  <property fmtid="{D5CDD505-2E9C-101B-9397-08002B2CF9AE}" pid="3" name="MSIP_Label_f35e945f-875f-47b7-87fa-10b3524d17f5_Enabled">
    <vt:lpwstr>true</vt:lpwstr>
  </property>
  <property fmtid="{D5CDD505-2E9C-101B-9397-08002B2CF9AE}" pid="4" name="MSIP_Label_f35e945f-875f-47b7-87fa-10b3524d17f5_SetDate">
    <vt:lpwstr>2024-03-01T11:41:11Z</vt:lpwstr>
  </property>
  <property fmtid="{D5CDD505-2E9C-101B-9397-08002B2CF9AE}" pid="5" name="MSIP_Label_f35e945f-875f-47b7-87fa-10b3524d17f5_Method">
    <vt:lpwstr>Standard</vt:lpwstr>
  </property>
  <property fmtid="{D5CDD505-2E9C-101B-9397-08002B2CF9AE}" pid="6" name="MSIP_Label_f35e945f-875f-47b7-87fa-10b3524d17f5_Name">
    <vt:lpwstr>Julkinen (harkinnanvaraisesti)</vt:lpwstr>
  </property>
  <property fmtid="{D5CDD505-2E9C-101B-9397-08002B2CF9AE}" pid="7" name="MSIP_Label_f35e945f-875f-47b7-87fa-10b3524d17f5_SiteId">
    <vt:lpwstr>3feb6bc1-d722-4726-966c-5b58b64df752</vt:lpwstr>
  </property>
  <property fmtid="{D5CDD505-2E9C-101B-9397-08002B2CF9AE}" pid="8" name="MSIP_Label_f35e945f-875f-47b7-87fa-10b3524d17f5_ActionId">
    <vt:lpwstr>aa5bc011-d16c-4fed-852f-4270ae0587b9</vt:lpwstr>
  </property>
  <property fmtid="{D5CDD505-2E9C-101B-9397-08002B2CF9AE}" pid="9" name="MSIP_Label_f35e945f-875f-47b7-87fa-10b3524d17f5_ContentBits">
    <vt:lpwstr>0</vt:lpwstr>
  </property>
  <property fmtid="{D5CDD505-2E9C-101B-9397-08002B2CF9AE}" pid="10" name="MediaServiceImageTags">
    <vt:lpwstr/>
  </property>
</Properties>
</file>